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3DD15"/>
    <w:p w14:paraId="677DB106"/>
    <w:p w14:paraId="57712E07"/>
    <w:p w14:paraId="759A68A2"/>
    <w:p w14:paraId="1F78FF1E">
      <w:pPr>
        <w:jc w:val="center"/>
      </w:pPr>
    </w:p>
    <w:p w14:paraId="04E31267">
      <w:pPr>
        <w:keepNext/>
        <w:shd w:val="clear" w:color="FFFFFF" w:fill="FFFFFF"/>
        <w:spacing w:after="560" w:line="460" w:lineRule="exact"/>
        <w:jc w:val="center"/>
        <w:outlineLvl w:val="0"/>
        <w:rPr>
          <w:rFonts w:ascii="Times New Roman" w:hAnsi="Times New Roman" w:eastAsia="黑体" w:cs="Times New Roman"/>
          <w:b/>
          <w:kern w:val="0"/>
          <w:sz w:val="36"/>
          <w:szCs w:val="36"/>
        </w:rPr>
      </w:pPr>
      <w:r>
        <w:rPr>
          <w:rFonts w:ascii="Times New Roman" w:hAnsi="Times New Roman" w:eastAsia="黑体" w:cs="Times New Roman"/>
          <w:b/>
          <w:kern w:val="0"/>
          <w:sz w:val="36"/>
          <w:szCs w:val="36"/>
        </w:rPr>
        <w:t>《</w:t>
      </w:r>
      <w:r>
        <w:rPr>
          <w:rFonts w:hint="eastAsia" w:ascii="Times New Roman" w:hAnsi="Times New Roman" w:eastAsia="黑体" w:cs="Times New Roman"/>
          <w:b/>
          <w:kern w:val="0"/>
          <w:sz w:val="36"/>
          <w:szCs w:val="36"/>
          <w:lang w:val="en-US" w:eastAsia="zh-CN"/>
        </w:rPr>
        <w:t>无损检测仪器相控阵探头校准规范</w:t>
      </w:r>
      <w:r>
        <w:rPr>
          <w:rFonts w:ascii="Times New Roman" w:hAnsi="Times New Roman" w:eastAsia="黑体" w:cs="Times New Roman"/>
          <w:b/>
          <w:kern w:val="0"/>
          <w:sz w:val="36"/>
          <w:szCs w:val="36"/>
        </w:rPr>
        <w:t>》</w:t>
      </w:r>
    </w:p>
    <w:p w14:paraId="471AE5B5">
      <w:pPr>
        <w:jc w:val="center"/>
        <w:rPr>
          <w:rFonts w:ascii="Times New Roman" w:hAnsi="Times New Roman" w:eastAsia="宋体" w:cs="Times New Roman"/>
          <w:b/>
          <w:sz w:val="36"/>
          <w:szCs w:val="36"/>
        </w:rPr>
      </w:pPr>
      <w:r>
        <w:rPr>
          <w:rFonts w:ascii="Times New Roman" w:hAnsi="Times New Roman" w:eastAsia="宋体" w:cs="Times New Roman"/>
          <w:b/>
          <w:sz w:val="36"/>
          <w:szCs w:val="36"/>
        </w:rPr>
        <w:t>（</w:t>
      </w:r>
      <w:r>
        <w:rPr>
          <w:rFonts w:hint="eastAsia" w:ascii="Times New Roman" w:hAnsi="Times New Roman" w:eastAsia="宋体" w:cs="Times New Roman"/>
          <w:b/>
          <w:sz w:val="36"/>
          <w:szCs w:val="36"/>
          <w:lang w:val="en-US" w:eastAsia="zh-CN"/>
        </w:rPr>
        <w:t>预审</w:t>
      </w:r>
      <w:r>
        <w:rPr>
          <w:rFonts w:hint="eastAsia" w:ascii="Times New Roman" w:hAnsi="Times New Roman" w:eastAsia="宋体" w:cs="Times New Roman"/>
          <w:b/>
          <w:sz w:val="36"/>
          <w:szCs w:val="36"/>
        </w:rPr>
        <w:t>稿</w:t>
      </w:r>
      <w:r>
        <w:rPr>
          <w:rFonts w:ascii="Times New Roman" w:hAnsi="Times New Roman" w:eastAsia="宋体" w:cs="Times New Roman"/>
          <w:b/>
          <w:sz w:val="36"/>
          <w:szCs w:val="36"/>
        </w:rPr>
        <w:t>）</w:t>
      </w:r>
    </w:p>
    <w:p w14:paraId="53E533E5">
      <w:pPr>
        <w:spacing w:before="936" w:beforeLines="300"/>
        <w:jc w:val="center"/>
        <w:rPr>
          <w:rFonts w:ascii="Times New Roman" w:hAnsi="Times New Roman" w:eastAsia="宋体" w:cs="Times New Roman"/>
          <w:b/>
          <w:sz w:val="36"/>
          <w:szCs w:val="36"/>
        </w:rPr>
      </w:pPr>
      <w:r>
        <w:rPr>
          <w:rFonts w:ascii="Times New Roman" w:hAnsi="Times New Roman" w:eastAsia="宋体" w:cs="Times New Roman"/>
          <w:b/>
          <w:spacing w:val="100"/>
          <w:sz w:val="36"/>
          <w:szCs w:val="36"/>
        </w:rPr>
        <w:t>编制说</w:t>
      </w:r>
      <w:r>
        <w:rPr>
          <w:rFonts w:ascii="Times New Roman" w:hAnsi="Times New Roman" w:eastAsia="宋体" w:cs="Times New Roman"/>
          <w:b/>
          <w:sz w:val="36"/>
          <w:szCs w:val="36"/>
        </w:rPr>
        <w:t>明</w:t>
      </w:r>
    </w:p>
    <w:p w14:paraId="07736CAC">
      <w:pPr>
        <w:jc w:val="center"/>
        <w:rPr>
          <w:rFonts w:ascii="Times New Roman" w:hAnsi="Times New Roman" w:eastAsia="宋体" w:cs="Times New Roman"/>
          <w:b/>
          <w:sz w:val="36"/>
          <w:szCs w:val="36"/>
        </w:rPr>
      </w:pPr>
    </w:p>
    <w:p w14:paraId="17B052F6">
      <w:pPr>
        <w:jc w:val="center"/>
        <w:rPr>
          <w:rFonts w:ascii="Times New Roman" w:hAnsi="Times New Roman" w:eastAsia="宋体" w:cs="Times New Roman"/>
          <w:b/>
          <w:sz w:val="36"/>
          <w:szCs w:val="36"/>
        </w:rPr>
      </w:pPr>
    </w:p>
    <w:p w14:paraId="2A17639A">
      <w:pPr>
        <w:jc w:val="center"/>
        <w:rPr>
          <w:rFonts w:ascii="Times New Roman" w:hAnsi="Times New Roman" w:eastAsia="宋体" w:cs="Times New Roman"/>
          <w:b/>
          <w:sz w:val="36"/>
          <w:szCs w:val="36"/>
        </w:rPr>
      </w:pPr>
    </w:p>
    <w:p w14:paraId="2E96800E">
      <w:pPr>
        <w:jc w:val="center"/>
        <w:rPr>
          <w:rFonts w:ascii="Times New Roman" w:hAnsi="Times New Roman" w:eastAsia="宋体" w:cs="Times New Roman"/>
          <w:b/>
          <w:sz w:val="36"/>
          <w:szCs w:val="36"/>
        </w:rPr>
      </w:pPr>
    </w:p>
    <w:p w14:paraId="26187DBC">
      <w:pPr>
        <w:jc w:val="center"/>
        <w:rPr>
          <w:rFonts w:ascii="Times New Roman" w:hAnsi="Times New Roman" w:eastAsia="宋体" w:cs="Times New Roman"/>
          <w:b/>
          <w:sz w:val="36"/>
          <w:szCs w:val="36"/>
        </w:rPr>
      </w:pPr>
    </w:p>
    <w:p w14:paraId="29F1E702">
      <w:pPr>
        <w:jc w:val="center"/>
        <w:rPr>
          <w:rFonts w:ascii="Times New Roman" w:hAnsi="Times New Roman" w:eastAsia="宋体" w:cs="Times New Roman"/>
          <w:b/>
          <w:sz w:val="36"/>
          <w:szCs w:val="36"/>
        </w:rPr>
      </w:pPr>
    </w:p>
    <w:p w14:paraId="232E319B">
      <w:pPr>
        <w:jc w:val="center"/>
        <w:rPr>
          <w:rFonts w:ascii="Times New Roman" w:hAnsi="Times New Roman" w:eastAsia="宋体" w:cs="Times New Roman"/>
          <w:b/>
          <w:sz w:val="36"/>
          <w:szCs w:val="36"/>
        </w:rPr>
      </w:pPr>
    </w:p>
    <w:p w14:paraId="23FE49D0">
      <w:pPr>
        <w:jc w:val="center"/>
        <w:rPr>
          <w:rFonts w:ascii="Times New Roman" w:hAnsi="Times New Roman" w:eastAsia="宋体" w:cs="Times New Roman"/>
          <w:b/>
          <w:sz w:val="36"/>
          <w:szCs w:val="36"/>
        </w:rPr>
      </w:pPr>
    </w:p>
    <w:p w14:paraId="3D11A254">
      <w:pPr>
        <w:jc w:val="center"/>
        <w:rPr>
          <w:rFonts w:ascii="Times New Roman" w:hAnsi="Times New Roman" w:eastAsia="宋体" w:cs="Times New Roman"/>
          <w:b/>
          <w:sz w:val="36"/>
          <w:szCs w:val="36"/>
        </w:rPr>
      </w:pPr>
    </w:p>
    <w:p w14:paraId="14B2807C">
      <w:pPr>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无损检测仪器相控阵探头校准规范</w:t>
      </w:r>
      <w:r>
        <w:rPr>
          <w:rFonts w:ascii="Times New Roman" w:hAnsi="Times New Roman" w:eastAsia="宋体" w:cs="Times New Roman"/>
          <w:b/>
          <w:sz w:val="32"/>
          <w:szCs w:val="32"/>
        </w:rPr>
        <w:t>》</w:t>
      </w:r>
    </w:p>
    <w:p w14:paraId="6D961F49">
      <w:pPr>
        <w:jc w:val="center"/>
        <w:rPr>
          <w:rFonts w:ascii="Times New Roman" w:hAnsi="Times New Roman" w:eastAsia="宋体" w:cs="Times New Roman"/>
          <w:b/>
          <w:sz w:val="32"/>
          <w:szCs w:val="32"/>
        </w:rPr>
      </w:pPr>
      <w:r>
        <w:rPr>
          <w:rFonts w:ascii="Times New Roman" w:hAnsi="Times New Roman" w:eastAsia="宋体" w:cs="Times New Roman"/>
          <w:b/>
          <w:sz w:val="32"/>
          <w:szCs w:val="32"/>
        </w:rPr>
        <w:t>编制工作组</w:t>
      </w:r>
    </w:p>
    <w:p w14:paraId="45ECC80C">
      <w:pPr>
        <w:jc w:val="center"/>
        <w:rPr>
          <w:rFonts w:ascii="Times New Roman" w:hAnsi="Times New Roman" w:eastAsia="宋体" w:cs="Times New Roman"/>
          <w:sz w:val="32"/>
          <w:szCs w:val="32"/>
        </w:rPr>
        <w:sectPr>
          <w:footerReference r:id="rId3" w:type="default"/>
          <w:pgSz w:w="11906" w:h="16838"/>
          <w:pgMar w:top="1440" w:right="1800" w:bottom="1440" w:left="1800" w:header="851" w:footer="992" w:gutter="0"/>
          <w:cols w:space="425" w:num="1"/>
          <w:titlePg/>
          <w:docGrid w:type="lines" w:linePitch="312" w:charSpace="0"/>
        </w:sectPr>
      </w:pPr>
      <w:r>
        <w:rPr>
          <w:rFonts w:ascii="Times New Roman" w:hAnsi="Times New Roman" w:eastAsia="宋体" w:cs="Times New Roman"/>
          <w:sz w:val="32"/>
          <w:szCs w:val="32"/>
        </w:rPr>
        <w:t>202</w:t>
      </w:r>
      <w:r>
        <w:rPr>
          <w:rFonts w:hint="eastAsia" w:ascii="Times New Roman" w:hAnsi="Times New Roman" w:eastAsia="宋体" w:cs="Times New Roman"/>
          <w:sz w:val="32"/>
          <w:szCs w:val="32"/>
          <w:lang w:val="en-US" w:eastAsia="zh-CN"/>
        </w:rPr>
        <w:t>6</w:t>
      </w:r>
      <w:r>
        <w:rPr>
          <w:rFonts w:ascii="Times New Roman" w:hAnsi="Times New Roman" w:eastAsia="宋体" w:cs="Times New Roman"/>
          <w:sz w:val="32"/>
          <w:szCs w:val="32"/>
        </w:rPr>
        <w:t>.</w:t>
      </w:r>
      <w:r>
        <w:rPr>
          <w:rFonts w:hint="eastAsia" w:ascii="Times New Roman" w:hAnsi="Times New Roman" w:eastAsia="宋体" w:cs="Times New Roman"/>
          <w:sz w:val="32"/>
          <w:szCs w:val="32"/>
          <w:lang w:val="en-US" w:eastAsia="zh-CN"/>
        </w:rPr>
        <w:t>7</w:t>
      </w:r>
      <w:r>
        <w:rPr>
          <w:rFonts w:ascii="Times New Roman" w:hAnsi="Times New Roman" w:eastAsia="宋体" w:cs="Times New Roman"/>
          <w:sz w:val="32"/>
          <w:szCs w:val="32"/>
        </w:rPr>
        <w:t>.13</w:t>
      </w:r>
    </w:p>
    <w:p w14:paraId="002C2B94">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lang w:val="en-US" w:eastAsia="zh-CN"/>
        </w:rPr>
        <w:t>国家计量技术规范</w:t>
      </w: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无损检测仪器相控阵探头校准规范</w:t>
      </w:r>
      <w:r>
        <w:rPr>
          <w:rFonts w:ascii="Times New Roman" w:hAnsi="Times New Roman" w:eastAsia="宋体" w:cs="Times New Roman"/>
          <w:b/>
          <w:sz w:val="32"/>
          <w:szCs w:val="32"/>
        </w:rPr>
        <w:t>》</w:t>
      </w:r>
    </w:p>
    <w:p w14:paraId="78878DBD">
      <w:pPr>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预审稿</w:t>
      </w:r>
      <w:r>
        <w:rPr>
          <w:rFonts w:ascii="Times New Roman" w:hAnsi="Times New Roman" w:eastAsia="宋体" w:cs="Times New Roman"/>
          <w:b/>
          <w:sz w:val="32"/>
          <w:szCs w:val="32"/>
        </w:rPr>
        <w:t>）编制说明</w:t>
      </w:r>
    </w:p>
    <w:p w14:paraId="48BDAADF">
      <w:pPr>
        <w:numPr>
          <w:ilvl w:val="0"/>
          <w:numId w:val="1"/>
        </w:numPr>
        <w:spacing w:before="312" w:beforeLines="100" w:after="312" w:afterLines="100"/>
        <w:ind w:left="357" w:hanging="357"/>
        <w:rPr>
          <w:rFonts w:ascii="Times New Roman" w:hAnsi="Times New Roman" w:eastAsia="黑体" w:cs="Times New Roman"/>
          <w:b/>
          <w:sz w:val="24"/>
          <w:szCs w:val="24"/>
        </w:rPr>
      </w:pPr>
      <w:r>
        <w:rPr>
          <w:rFonts w:hint="eastAsia" w:ascii="Times New Roman" w:hAnsi="Times New Roman" w:eastAsia="黑体" w:cs="Times New Roman"/>
          <w:b/>
          <w:sz w:val="24"/>
          <w:szCs w:val="24"/>
        </w:rPr>
        <w:t>任务来源和目的意义</w:t>
      </w:r>
    </w:p>
    <w:p w14:paraId="35EB20AB">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相控阵探头（Phased Array Probe）是超声相控阵检测系统的核心部件，属于先进的无损检测传感器。与传统超声单晶片探头相比，相控阵探头由多个独立激励的压电晶片阵列（阵元）组成。其基本原理是通过电子系统精确控制各阵元发射/接收超声波的相位和幅度，利用波的干涉原理实现声束的动态聚焦、偏转和扫查。通过调节各阵元的激发时间差（延时法则），可使各阵元发出的超声波在介质中某一点同相叠加，形成聚焦效果</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随着工业制造对产品质量要求的不断提升，相控阵检测技术在特种设备、轨道交通、能源电力及航空航天等领域</w:t>
      </w:r>
      <w:r>
        <w:rPr>
          <w:rFonts w:hint="eastAsia" w:ascii="Times New Roman" w:hAnsi="Times New Roman" w:eastAsia="宋体" w:cs="Times New Roman"/>
          <w:sz w:val="24"/>
          <w:szCs w:val="24"/>
          <w:lang w:val="en-US" w:eastAsia="zh-CN"/>
        </w:rPr>
        <w:t>取得广泛应用</w:t>
      </w:r>
      <w:r>
        <w:rPr>
          <w:rFonts w:hint="eastAsia" w:ascii="Times New Roman" w:hAnsi="Times New Roman" w:eastAsia="宋体" w:cs="Times New Roman"/>
          <w:sz w:val="24"/>
          <w:szCs w:val="24"/>
        </w:rPr>
        <w:t>。</w:t>
      </w:r>
    </w:p>
    <w:p w14:paraId="6D6AC173">
      <w:pPr>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无损检测仪器相控阵探头目前国外主要生产企业有美国Evident公司、美国Eddyfi Technologies公司、美国Zetec公司、英国Sonatest公司，国内主要有广州多浦乐电子科技股份有限公司、汕头市超声仪器研究所股份有限公司、广东汕头超声电子股份有限公司等公司。目前在特种设备检验检测、能源电力、轨道交通与航空航天、石油天然气与化工、增材制造与新材料等领域的众多相控阵探头采购使用单位在进行验收时尚缺少计量标准保障，只能参照国外出厂报告进行简单指标的实验验证。在计量标准装置研制方面亟需实现自主可控，并研究量值溯源方法。</w:t>
      </w:r>
    </w:p>
    <w:p w14:paraId="55061074">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无损检测仪器相控阵超声探头是相控阵超声检测系统中的重要仪器，作为相控阵超声检测在在役设备缺陷检测和产品出厂质量控制的关键一环，目前关于相控阵探头还没有完善的规范，严重影响相控阵超声检测系统在检测应用时的检测质量。因此，制定无损检测仪器相控阵探头校准规范，对解决CNAS、CMA无法规基础、第三方校准无计量校准规范依据有重要意义。 </w:t>
      </w:r>
    </w:p>
    <w:p w14:paraId="0F14128E">
      <w:pPr>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依据国家市场监督管理总局下达的“2025年国家计量技术法规文件制定/修订工作有关事项的通知”（MTCI3-2025-04(C)），由西安汉唐分析检测有限公司、中国计量科学研究院、西安建筑科技大学联合制定《无损检测仪器相控阵探头校准规范》。根据计划任务书和秘书处的安排，征求意见稿于2026年9月完成。</w:t>
      </w:r>
      <w:bookmarkStart w:id="1" w:name="_GoBack"/>
      <w:bookmarkEnd w:id="1"/>
    </w:p>
    <w:p w14:paraId="63A37253">
      <w:pPr>
        <w:numPr>
          <w:ilvl w:val="0"/>
          <w:numId w:val="1"/>
        </w:numPr>
        <w:spacing w:before="312" w:beforeLines="100" w:after="312" w:afterLines="100"/>
        <w:ind w:left="357" w:hanging="357"/>
        <w:rPr>
          <w:rFonts w:ascii="Times New Roman" w:hAnsi="Times New Roman" w:eastAsia="黑体" w:cs="Times New Roman"/>
          <w:b/>
          <w:sz w:val="24"/>
          <w:szCs w:val="24"/>
        </w:rPr>
      </w:pPr>
      <w:r>
        <w:rPr>
          <w:rFonts w:hint="eastAsia" w:ascii="黑体" w:hAnsi="宋体" w:eastAsia="黑体" w:cs="Times New Roman"/>
          <w:b/>
          <w:sz w:val="24"/>
          <w:szCs w:val="24"/>
          <w:lang w:val="en-US" w:eastAsia="zh-CN"/>
        </w:rPr>
        <w:t>主要技术依据</w:t>
      </w:r>
    </w:p>
    <w:p w14:paraId="50AADE9B">
      <w:pPr>
        <w:spacing w:line="360" w:lineRule="auto"/>
        <w:rPr>
          <w:rFonts w:hint="eastAsia" w:ascii="Times New Roman" w:hAnsi="Times New Roman" w:eastAsia="宋体" w:cs="Times New Roman"/>
          <w:sz w:val="24"/>
          <w:szCs w:val="24"/>
          <w:lang w:val="en-US" w:eastAsia="zh-CN"/>
        </w:rPr>
      </w:pPr>
      <w:bookmarkStart w:id="0" w:name="OLE_LINK42"/>
      <w:r>
        <w:rPr>
          <w:rFonts w:hint="eastAsia" w:ascii="Times New Roman" w:hAnsi="Times New Roman" w:eastAsia="宋体" w:cs="Times New Roman"/>
          <w:sz w:val="24"/>
          <w:szCs w:val="24"/>
          <w:lang w:val="en-US" w:eastAsia="zh-CN"/>
        </w:rPr>
        <w:t>2.1 本规范依据JJF 1002—2010《国家计量检定规程编写规则》给出的规则和格式编写。本规范及验证实验的不确定度评定，符合JJF 1059.1—2012《测量不确定度的评定与表示》的要求。</w:t>
      </w:r>
    </w:p>
    <w:p w14:paraId="23BFFD31">
      <w:pPr>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2.2 本规范的结构及内容符合JJF 1002—2010的要求，包含有引言、范围、引用文件、术语和计量单位、概述、计量性能要求、通用技术要求和计量器具控制等主要元素。同时还包括校准证书的内容和内页格式、参考试块技术要求、曲面相控阵探头校准方法、相控阵探头中心频率测量不确定度评定示例共5个附录。</w:t>
      </w:r>
    </w:p>
    <w:p w14:paraId="4BE48378">
      <w:pPr>
        <w:spacing w:line="360" w:lineRule="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2.3 本规范中参照了ISO 18563-2:2024《无损检测仪器—超声相控阵设备的特性描述与验证—第2部分：阵列探头》（英文版）、GB/T 42399.2—2024《无损检测仪器—相控阵超声设备的性能与检验—第2部分：探头》</w:t>
      </w:r>
    </w:p>
    <w:p w14:paraId="69A553B5">
      <w:pPr>
        <w:numPr>
          <w:ilvl w:val="0"/>
          <w:numId w:val="1"/>
        </w:numPr>
        <w:spacing w:before="312" w:beforeLines="100" w:after="312" w:afterLines="100"/>
        <w:ind w:left="357" w:hanging="357"/>
        <w:rPr>
          <w:rFonts w:ascii="Times New Roman" w:hAnsi="Times New Roman" w:eastAsia="宋体" w:cs="Times New Roman"/>
          <w:sz w:val="24"/>
          <w:szCs w:val="24"/>
        </w:rPr>
      </w:pPr>
      <w:r>
        <w:rPr>
          <w:rFonts w:hint="eastAsia" w:ascii="Times New Roman" w:hAnsi="Times New Roman" w:eastAsia="黑体" w:cs="Times New Roman"/>
          <w:b/>
          <w:sz w:val="24"/>
          <w:szCs w:val="24"/>
          <w:lang w:val="en-US" w:eastAsia="zh-CN"/>
        </w:rPr>
        <w:t>起草工作过程</w:t>
      </w:r>
    </w:p>
    <w:p w14:paraId="1BF9F661">
      <w:pPr>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3.1 本研究ISO 18563-2:2024和GB/T 42399.2—2024中校准相关内容，根据实验过程确定详细的校准方法；</w:t>
      </w:r>
    </w:p>
    <w:p w14:paraId="5F61DBA0">
      <w:pPr>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 起草组讨论并广泛征求技术机构和企业意见，对计量特性、校准项目和校准方法进行完善；</w:t>
      </w:r>
    </w:p>
    <w:p w14:paraId="5FD99C30">
      <w:pPr>
        <w:spacing w:line="360" w:lineRule="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3.3 2026年07月14日，在MTC13声学计量委员会工作组内对预审稿依据文件、技术指标、校准步骤、不确定度评定等内容进行讨论。</w:t>
      </w:r>
    </w:p>
    <w:p w14:paraId="53A75DE5">
      <w:pPr>
        <w:tabs>
          <w:tab w:val="left" w:pos="1134"/>
        </w:tabs>
        <w:adjustRightInd w:val="0"/>
        <w:snapToGrid w:val="0"/>
        <w:spacing w:line="300" w:lineRule="auto"/>
        <w:ind w:firstLine="480" w:firstLineChars="200"/>
        <w:rPr>
          <w:rFonts w:ascii="Times New Roman" w:hAnsi="Times New Roman" w:eastAsia="宋体" w:cs="Times New Roman"/>
          <w:sz w:val="24"/>
          <w:szCs w:val="24"/>
        </w:rPr>
      </w:pPr>
    </w:p>
    <w:p w14:paraId="42875FD1">
      <w:pPr>
        <w:tabs>
          <w:tab w:val="left" w:pos="1134"/>
        </w:tabs>
        <w:adjustRightInd w:val="0"/>
        <w:snapToGrid w:val="0"/>
        <w:spacing w:line="300" w:lineRule="auto"/>
        <w:ind w:firstLine="480" w:firstLineChars="200"/>
        <w:rPr>
          <w:rFonts w:ascii="Times New Roman" w:hAnsi="Times New Roman" w:eastAsia="宋体" w:cs="Times New Roman"/>
          <w:sz w:val="24"/>
          <w:szCs w:val="24"/>
        </w:rPr>
      </w:pPr>
    </w:p>
    <w:bookmarkEnd w:id="0"/>
    <w:p w14:paraId="2A6DA1FE">
      <w:pPr>
        <w:wordWrap w:val="0"/>
        <w:spacing w:line="360" w:lineRule="auto"/>
        <w:ind w:right="240"/>
        <w:jc w:val="right"/>
        <w:rPr>
          <w:rFonts w:hint="default" w:ascii="Times New Roman" w:hAnsi="Times New Roman" w:eastAsia="宋体" w:cs="Times New Roman"/>
          <w:sz w:val="24"/>
          <w:szCs w:val="24"/>
          <w:lang w:val="en-US" w:eastAsia="zh-CN"/>
        </w:rPr>
      </w:pPr>
      <w:r>
        <w:rPr>
          <w:rFonts w:hint="eastAsia" w:ascii="Times New Roman" w:hAnsi="宋体" w:eastAsia="宋体" w:cs="Times New Roman"/>
          <w:sz w:val="24"/>
          <w:szCs w:val="24"/>
        </w:rPr>
        <w:t>《</w:t>
      </w:r>
      <w:r>
        <w:rPr>
          <w:rFonts w:hint="eastAsia" w:ascii="Times New Roman" w:hAnsi="宋体" w:eastAsia="宋体" w:cs="Times New Roman"/>
          <w:sz w:val="24"/>
          <w:szCs w:val="24"/>
          <w:lang w:val="en-US" w:eastAsia="zh-CN"/>
        </w:rPr>
        <w:t>无损检测仪器相控阵探头校准规范</w:t>
      </w:r>
      <w:r>
        <w:rPr>
          <w:rFonts w:hint="eastAsia" w:ascii="Times New Roman" w:hAnsi="宋体" w:eastAsia="宋体" w:cs="Times New Roman"/>
          <w:sz w:val="24"/>
          <w:szCs w:val="24"/>
        </w:rPr>
        <w:t>》</w:t>
      </w:r>
      <w:r>
        <w:rPr>
          <w:rFonts w:ascii="Times New Roman" w:hAnsi="宋体" w:eastAsia="宋体" w:cs="Times New Roman"/>
          <w:sz w:val="24"/>
          <w:szCs w:val="24"/>
        </w:rPr>
        <w:t>编制组</w:t>
      </w:r>
      <w:r>
        <w:rPr>
          <w:rFonts w:hint="eastAsia" w:ascii="Times New Roman" w:hAnsi="宋体" w:eastAsia="宋体" w:cs="Times New Roman"/>
          <w:sz w:val="24"/>
          <w:szCs w:val="24"/>
          <w:lang w:val="en-US" w:eastAsia="zh-CN"/>
        </w:rPr>
        <w:t xml:space="preserve"> 2026.07.13</w:t>
      </w:r>
    </w:p>
    <w:p w14:paraId="7A6847CF">
      <w:pPr>
        <w:jc w:val="center"/>
      </w:pP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992882"/>
      <w:docPartObj>
        <w:docPartGallery w:val="autotext"/>
      </w:docPartObj>
    </w:sdtPr>
    <w:sdtEndPr>
      <w:rPr>
        <w:rFonts w:ascii="Times New Roman" w:hAnsi="Times New Roman" w:cs="Times New Roman"/>
        <w:sz w:val="21"/>
        <w:szCs w:val="21"/>
      </w:rPr>
    </w:sdtEndPr>
    <w:sdtContent>
      <w:p w14:paraId="786EC4C8">
        <w:pPr>
          <w:pStyle w:val="2"/>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3</w:t>
        </w:r>
        <w:r>
          <w:rPr>
            <w:rFonts w:ascii="Times New Roman" w:hAnsi="Times New Roman" w:cs="Times New Roman"/>
            <w:sz w:val="21"/>
            <w:szCs w:val="21"/>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5A38"/>
    <w:multiLevelType w:val="multilevel"/>
    <w:tmpl w:val="31165A38"/>
    <w:lvl w:ilvl="0" w:tentative="0">
      <w:start w:val="1"/>
      <w:numFmt w:val="decimal"/>
      <w:lvlText w:val="%1"/>
      <w:lvlJc w:val="left"/>
      <w:pPr>
        <w:tabs>
          <w:tab w:val="left" w:pos="360"/>
        </w:tabs>
        <w:ind w:left="360" w:hanging="360"/>
      </w:pPr>
      <w:rPr>
        <w:rFonts w:hint="default" w:ascii="黑体" w:hAnsi="黑体" w:eastAsia="黑体"/>
      </w:rPr>
    </w:lvl>
    <w:lvl w:ilvl="1" w:tentative="0">
      <w:start w:val="1"/>
      <w:numFmt w:val="decimal"/>
      <w:isLgl/>
      <w:lvlText w:val="%1.%2"/>
      <w:lvlJc w:val="left"/>
      <w:pPr>
        <w:tabs>
          <w:tab w:val="left" w:pos="480"/>
        </w:tabs>
        <w:ind w:left="480" w:hanging="480"/>
      </w:pPr>
      <w:rPr>
        <w:rFonts w:hint="eastAsia" w:ascii="黑体" w:eastAsia="黑体"/>
      </w:rPr>
    </w:lvl>
    <w:lvl w:ilvl="2" w:tentative="0">
      <w:start w:val="1"/>
      <w:numFmt w:val="decimal"/>
      <w:isLgl/>
      <w:lvlText w:val="%1.%2.%3"/>
      <w:lvlJc w:val="left"/>
      <w:pPr>
        <w:tabs>
          <w:tab w:val="left" w:pos="720"/>
        </w:tabs>
        <w:ind w:left="720" w:hanging="720"/>
      </w:pPr>
      <w:rPr>
        <w:rFonts w:hint="default"/>
      </w:rPr>
    </w:lvl>
    <w:lvl w:ilvl="3" w:tentative="0">
      <w:start w:val="1"/>
      <w:numFmt w:val="decimal"/>
      <w:isLgl/>
      <w:lvlText w:val="%1.%2.%3.%4"/>
      <w:lvlJc w:val="left"/>
      <w:pPr>
        <w:tabs>
          <w:tab w:val="left" w:pos="720"/>
        </w:tabs>
        <w:ind w:left="720" w:hanging="72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080"/>
        </w:tabs>
        <w:ind w:left="1080" w:hanging="1080"/>
      </w:pPr>
      <w:rPr>
        <w:rFonts w:hint="default"/>
      </w:rPr>
    </w:lvl>
    <w:lvl w:ilvl="6" w:tentative="0">
      <w:start w:val="1"/>
      <w:numFmt w:val="decimal"/>
      <w:isLgl/>
      <w:lvlText w:val="%1.%2.%3.%4.%5.%6.%7"/>
      <w:lvlJc w:val="left"/>
      <w:pPr>
        <w:tabs>
          <w:tab w:val="left" w:pos="1080"/>
        </w:tabs>
        <w:ind w:left="1080" w:hanging="1080"/>
      </w:pPr>
      <w:rPr>
        <w:rFonts w:hint="default"/>
      </w:rPr>
    </w:lvl>
    <w:lvl w:ilvl="7" w:tentative="0">
      <w:start w:val="1"/>
      <w:numFmt w:val="decimal"/>
      <w:isLgl/>
      <w:lvlText w:val="%1.%2.%3.%4.%5.%6.%7.%8"/>
      <w:lvlJc w:val="left"/>
      <w:pPr>
        <w:tabs>
          <w:tab w:val="left" w:pos="1440"/>
        </w:tabs>
        <w:ind w:left="1440" w:hanging="1440"/>
      </w:pPr>
      <w:rPr>
        <w:rFonts w:hint="default"/>
      </w:rPr>
    </w:lvl>
    <w:lvl w:ilvl="8" w:tentative="0">
      <w:start w:val="1"/>
      <w:numFmt w:val="decimal"/>
      <w:isLgl/>
      <w:lvlText w:val="%1.%2.%3.%4.%5.%6.%7.%8.%9"/>
      <w:lvlJc w:val="left"/>
      <w:pPr>
        <w:tabs>
          <w:tab w:val="left" w:pos="1440"/>
        </w:tabs>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E69"/>
    <w:rsid w:val="0000770D"/>
    <w:rsid w:val="000233A5"/>
    <w:rsid w:val="00053414"/>
    <w:rsid w:val="000D632C"/>
    <w:rsid w:val="00195E69"/>
    <w:rsid w:val="002127F0"/>
    <w:rsid w:val="00230D66"/>
    <w:rsid w:val="0029197E"/>
    <w:rsid w:val="003E6AD3"/>
    <w:rsid w:val="005418CA"/>
    <w:rsid w:val="005E2528"/>
    <w:rsid w:val="00872B9E"/>
    <w:rsid w:val="008750C4"/>
    <w:rsid w:val="009D3137"/>
    <w:rsid w:val="00A16C4A"/>
    <w:rsid w:val="00AA2146"/>
    <w:rsid w:val="00B2577D"/>
    <w:rsid w:val="00B54FCE"/>
    <w:rsid w:val="00B604F5"/>
    <w:rsid w:val="00CA5814"/>
    <w:rsid w:val="00CB7696"/>
    <w:rsid w:val="00CC204D"/>
    <w:rsid w:val="00D109A4"/>
    <w:rsid w:val="00FC49B7"/>
    <w:rsid w:val="00FF5911"/>
    <w:rsid w:val="12D7780F"/>
    <w:rsid w:val="6FAA2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940C4-4AA0-4B18-AC4D-3217B46CBADA}">
  <ds:schemaRefs/>
</ds:datastoreItem>
</file>

<file path=docProps/app.xml><?xml version="1.0" encoding="utf-8"?>
<Properties xmlns="http://schemas.openxmlformats.org/officeDocument/2006/extended-properties" xmlns:vt="http://schemas.openxmlformats.org/officeDocument/2006/docPropsVTypes">
  <Template>Normal</Template>
  <Pages>3</Pages>
  <Words>1195</Words>
  <Characters>1362</Characters>
  <Lines>25</Lines>
  <Paragraphs>7</Paragraphs>
  <TotalTime>2</TotalTime>
  <ScaleCrop>false</ScaleCrop>
  <LinksUpToDate>false</LinksUpToDate>
  <CharactersWithSpaces>1380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2024-07-23T11:15:00Z</dcterms:created>
  <dc:creator>15504</dc:creator>
  <cp:lastModifiedBy>Timeless</cp:lastModifiedBy>
  <dcterms:modified xsi:type="dcterms:W3CDTF">2026-07-18T05:12:56Z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eyJoZGlkIjoiNWI3ODNmOTA5ZWQzNGE2ZWU4ZmU0M2I2MDgyNjk2NzgiLCJ1c2VySWQiOiIyNTIyMjUzNzMifQ==</vt:lpwstr>
  </property>
  <property fmtid="{D5CDD505-2E9C-101B-9397-08002B2CF9AE}" pid="3" name="KSOProductBuildVer">
    <vt:lpwstr>2052-12.1.0.26884</vt:lpwstr>
  </property>
  <property fmtid="{D5CDD505-2E9C-101B-9397-08002B2CF9AE}" pid="4" name="ICV">
    <vt:lpwstr>422B6666A5B6470B9CD481F133431E66_13</vt:lpwstr>
  </property>
</Properties>
</file>